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2F9" w:rsidRPr="00652828" w:rsidRDefault="00DB22F9" w:rsidP="00DB22F9">
      <w:pPr>
        <w:spacing w:after="0"/>
        <w:ind w:left="-284" w:right="-1759" w:firstLine="581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2828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DB22F9" w:rsidRDefault="00DB22F9" w:rsidP="00DB22F9">
      <w:pPr>
        <w:spacing w:after="0"/>
        <w:ind w:left="-284" w:right="-1759" w:firstLine="5813"/>
        <w:jc w:val="both"/>
        <w:rPr>
          <w:rFonts w:ascii="Times New Roman" w:hAnsi="Times New Roman" w:cs="Times New Roman"/>
          <w:sz w:val="24"/>
          <w:szCs w:val="24"/>
        </w:rPr>
      </w:pPr>
      <w:r w:rsidRPr="00652828">
        <w:rPr>
          <w:rFonts w:ascii="Times New Roman" w:hAnsi="Times New Roman" w:cs="Times New Roman"/>
          <w:sz w:val="24"/>
          <w:szCs w:val="24"/>
        </w:rPr>
        <w:t>от «</w:t>
      </w:r>
      <w:r w:rsidRPr="00DB22F9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652828">
        <w:rPr>
          <w:rFonts w:ascii="Times New Roman" w:hAnsi="Times New Roman" w:cs="Times New Roman"/>
          <w:sz w:val="24"/>
          <w:szCs w:val="24"/>
        </w:rPr>
        <w:t xml:space="preserve">» </w:t>
      </w:r>
      <w:r w:rsidRPr="00DB22F9">
        <w:rPr>
          <w:rFonts w:ascii="Times New Roman" w:hAnsi="Times New Roman" w:cs="Times New Roman"/>
          <w:sz w:val="24"/>
          <w:szCs w:val="24"/>
          <w:u w:val="single"/>
        </w:rPr>
        <w:t xml:space="preserve">августа </w:t>
      </w:r>
      <w:r w:rsidRPr="00652828">
        <w:rPr>
          <w:rFonts w:ascii="Times New Roman" w:hAnsi="Times New Roman" w:cs="Times New Roman"/>
          <w:sz w:val="24"/>
          <w:szCs w:val="24"/>
        </w:rPr>
        <w:t xml:space="preserve">№ </w:t>
      </w:r>
      <w:r w:rsidRPr="00DB22F9">
        <w:rPr>
          <w:rFonts w:ascii="Times New Roman" w:hAnsi="Times New Roman" w:cs="Times New Roman"/>
          <w:sz w:val="24"/>
          <w:szCs w:val="24"/>
          <w:u w:val="single"/>
        </w:rPr>
        <w:t>402-0</w:t>
      </w:r>
    </w:p>
    <w:p w:rsidR="00DB22F9" w:rsidRDefault="00DB22F9" w:rsidP="00DB22F9">
      <w:pPr>
        <w:spacing w:after="0"/>
        <w:ind w:left="-284" w:right="-1759" w:firstLine="5813"/>
        <w:jc w:val="both"/>
        <w:rPr>
          <w:rFonts w:ascii="Times New Roman" w:hAnsi="Times New Roman" w:cs="Times New Roman"/>
          <w:sz w:val="24"/>
          <w:szCs w:val="24"/>
        </w:rPr>
      </w:pPr>
    </w:p>
    <w:p w:rsidR="00DB22F9" w:rsidRDefault="00DB22F9" w:rsidP="00DB22F9">
      <w:pPr>
        <w:spacing w:after="0"/>
        <w:ind w:left="-284" w:right="-1759" w:firstLine="5813"/>
        <w:jc w:val="both"/>
        <w:rPr>
          <w:rFonts w:ascii="Times New Roman" w:hAnsi="Times New Roman" w:cs="Times New Roman"/>
          <w:sz w:val="24"/>
          <w:szCs w:val="24"/>
        </w:rPr>
      </w:pPr>
    </w:p>
    <w:p w:rsidR="00DB22F9" w:rsidRPr="00B424A0" w:rsidRDefault="00DB22F9" w:rsidP="00DB22F9">
      <w:pPr>
        <w:spacing w:after="0"/>
        <w:ind w:left="-284" w:right="-1759" w:firstLine="5813"/>
        <w:jc w:val="both"/>
        <w:rPr>
          <w:rFonts w:ascii="Times New Roman" w:hAnsi="Times New Roman" w:cs="Times New Roman"/>
          <w:sz w:val="24"/>
          <w:szCs w:val="24"/>
        </w:rPr>
      </w:pPr>
    </w:p>
    <w:p w:rsidR="00DB22F9" w:rsidRPr="00B424A0" w:rsidRDefault="00DB22F9" w:rsidP="00DB22F9">
      <w:pPr>
        <w:spacing w:after="0"/>
        <w:jc w:val="center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ПОЛОЖЕНИЕ</w:t>
      </w:r>
    </w:p>
    <w:p w:rsidR="00DB22F9" w:rsidRPr="00B424A0" w:rsidRDefault="00DB22F9" w:rsidP="00DB22F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24A0">
        <w:rPr>
          <w:rFonts w:ascii="Times New Roman" w:hAnsi="Times New Roman" w:cs="Times New Roman"/>
          <w:b/>
          <w:bCs/>
        </w:rPr>
        <w:t>о программе внеучебной деятельности «</w:t>
      </w:r>
      <w:proofErr w:type="spellStart"/>
      <w:r w:rsidRPr="00B424A0">
        <w:rPr>
          <w:rFonts w:ascii="Times New Roman" w:hAnsi="Times New Roman" w:cs="Times New Roman"/>
          <w:b/>
          <w:bCs/>
        </w:rPr>
        <w:t>Внеучебка</w:t>
      </w:r>
      <w:proofErr w:type="spellEnd"/>
      <w:r w:rsidRPr="00B424A0">
        <w:rPr>
          <w:rFonts w:ascii="Times New Roman" w:hAnsi="Times New Roman" w:cs="Times New Roman"/>
          <w:b/>
          <w:bCs/>
        </w:rPr>
        <w:t xml:space="preserve"> 2.0»</w:t>
      </w:r>
      <w:r w:rsidRPr="00B424A0">
        <w:rPr>
          <w:rFonts w:ascii="Times New Roman" w:hAnsi="Times New Roman" w:cs="Times New Roman"/>
        </w:rPr>
        <w:br/>
      </w:r>
      <w:r w:rsidRPr="00B424A0">
        <w:rPr>
          <w:rFonts w:ascii="Times New Roman" w:hAnsi="Times New Roman" w:cs="Times New Roman"/>
          <w:b/>
          <w:bCs/>
        </w:rPr>
        <w:t>в «Автономная некоммерческая организация высшего образования «Российский новый университет» на 2025/2026 учебный год</w:t>
      </w:r>
    </w:p>
    <w:p w:rsidR="00DB22F9" w:rsidRPr="00B424A0" w:rsidRDefault="00DB22F9" w:rsidP="00DB22F9">
      <w:pPr>
        <w:spacing w:after="0"/>
        <w:jc w:val="center"/>
        <w:rPr>
          <w:rFonts w:ascii="Times New Roman" w:hAnsi="Times New Roman" w:cs="Times New Roman"/>
        </w:rPr>
      </w:pPr>
    </w:p>
    <w:p w:rsidR="00DB22F9" w:rsidRPr="00B424A0" w:rsidRDefault="00DB22F9" w:rsidP="00DB22F9">
      <w:pPr>
        <w:spacing w:after="0"/>
        <w:jc w:val="center"/>
        <w:rPr>
          <w:rFonts w:ascii="Times New Roman" w:hAnsi="Times New Roman" w:cs="Times New Roman"/>
        </w:rPr>
      </w:pP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1. Общие положения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1.1. Настоящее Положение о программе внеучебной деятельности «</w:t>
      </w:r>
      <w:proofErr w:type="spellStart"/>
      <w:r w:rsidRPr="00B424A0">
        <w:rPr>
          <w:rFonts w:ascii="Times New Roman" w:hAnsi="Times New Roman" w:cs="Times New Roman"/>
        </w:rPr>
        <w:t>Внеучебка</w:t>
      </w:r>
      <w:proofErr w:type="spellEnd"/>
      <w:r w:rsidRPr="00B424A0">
        <w:rPr>
          <w:rFonts w:ascii="Times New Roman" w:hAnsi="Times New Roman" w:cs="Times New Roman"/>
        </w:rPr>
        <w:t xml:space="preserve"> 2.0» (далее – Положение) определяет порядок организации, функционирования и поощрения участия студентов в </w:t>
      </w:r>
      <w:r>
        <w:rPr>
          <w:rFonts w:ascii="Times New Roman" w:hAnsi="Times New Roman" w:cs="Times New Roman"/>
        </w:rPr>
        <w:t>воспитательной деятельности</w:t>
      </w:r>
      <w:r w:rsidRPr="00B424A0">
        <w:rPr>
          <w:rFonts w:ascii="Times New Roman" w:hAnsi="Times New Roman" w:cs="Times New Roman"/>
        </w:rPr>
        <w:t xml:space="preserve"> Автономной некоммерческой организации АНО ВО «Российский новый университет» (далее - Университет).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1.2. «</w:t>
      </w:r>
      <w:proofErr w:type="spellStart"/>
      <w:r w:rsidRPr="00B424A0">
        <w:rPr>
          <w:rFonts w:ascii="Times New Roman" w:hAnsi="Times New Roman" w:cs="Times New Roman"/>
        </w:rPr>
        <w:t>Внеучебка</w:t>
      </w:r>
      <w:proofErr w:type="spellEnd"/>
      <w:r w:rsidRPr="00B424A0">
        <w:rPr>
          <w:rFonts w:ascii="Times New Roman" w:hAnsi="Times New Roman" w:cs="Times New Roman"/>
        </w:rPr>
        <w:t xml:space="preserve"> 2.0» (далее – Программа) предназначена для мотивации студентов к всестороннему развитию, формированию активной жизненной позиции, признания заслуг и популяризации достижений студентов во внеучебной деятельности.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2. Цели и задачи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  <w:b/>
          <w:bCs/>
        </w:rPr>
      </w:pPr>
      <w:r w:rsidRPr="00B424A0">
        <w:rPr>
          <w:rFonts w:ascii="Times New Roman" w:hAnsi="Times New Roman" w:cs="Times New Roman"/>
        </w:rPr>
        <w:t>2.1. </w:t>
      </w:r>
      <w:r w:rsidRPr="00B424A0">
        <w:rPr>
          <w:rFonts w:ascii="Times New Roman" w:hAnsi="Times New Roman" w:cs="Times New Roman"/>
          <w:b/>
          <w:bCs/>
        </w:rPr>
        <w:t>Цели Программы:</w:t>
      </w:r>
    </w:p>
    <w:p w:rsidR="00DB22F9" w:rsidRPr="00B424A0" w:rsidRDefault="00DB22F9" w:rsidP="00DB22F9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Создание условий для реализации лидерского и творческого потенциала студентов.</w:t>
      </w:r>
    </w:p>
    <w:p w:rsidR="00DB22F9" w:rsidRPr="00B424A0" w:rsidRDefault="00DB22F9" w:rsidP="00DB22F9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Повышение охвата студентов и вовлеченности во внеучебную деятельность Университета.</w:t>
      </w:r>
    </w:p>
    <w:p w:rsidR="00DB22F9" w:rsidRPr="00B424A0" w:rsidRDefault="00DB22F9" w:rsidP="00DB22F9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Формирование устойчивого сообщества активных студентов.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2.2. </w:t>
      </w:r>
      <w:r w:rsidRPr="00B424A0">
        <w:rPr>
          <w:rFonts w:ascii="Times New Roman" w:hAnsi="Times New Roman" w:cs="Times New Roman"/>
          <w:b/>
          <w:bCs/>
        </w:rPr>
        <w:t>Задачи Программы:</w:t>
      </w:r>
    </w:p>
    <w:p w:rsidR="00DB22F9" w:rsidRPr="00B424A0" w:rsidRDefault="00DB22F9" w:rsidP="00DB22F9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Формализация и прозрачный учет внеучебных достижений студентов.</w:t>
      </w:r>
    </w:p>
    <w:p w:rsidR="00DB22F9" w:rsidRPr="00B424A0" w:rsidRDefault="00DB22F9" w:rsidP="00DB22F9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Создание системы геймификации для повышения мотивации.</w:t>
      </w:r>
    </w:p>
    <w:p w:rsidR="00DB22F9" w:rsidRPr="00B424A0" w:rsidRDefault="00DB22F9" w:rsidP="00DB22F9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Определение и поощрение наиболее активных студентов Университета.</w:t>
      </w:r>
    </w:p>
    <w:p w:rsidR="00DB22F9" w:rsidRPr="00B424A0" w:rsidRDefault="00DB22F9" w:rsidP="00DB22F9">
      <w:pPr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3. Организационное обеспечение</w:t>
      </w:r>
    </w:p>
    <w:p w:rsidR="00DB22F9" w:rsidRPr="00B424A0" w:rsidRDefault="00DB22F9" w:rsidP="00DB22F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3.1. Общее руководство, контроль за функционированием Программы и принятие итоговых решений осуществляет Оргкомитет программы «</w:t>
      </w:r>
      <w:proofErr w:type="spellStart"/>
      <w:r w:rsidRPr="00B424A0">
        <w:rPr>
          <w:rFonts w:ascii="Times New Roman" w:hAnsi="Times New Roman" w:cs="Times New Roman"/>
        </w:rPr>
        <w:t>Внеучебка</w:t>
      </w:r>
      <w:proofErr w:type="spellEnd"/>
      <w:r w:rsidRPr="00B424A0">
        <w:rPr>
          <w:rFonts w:ascii="Times New Roman" w:hAnsi="Times New Roman" w:cs="Times New Roman"/>
        </w:rPr>
        <w:t xml:space="preserve"> 2.0».</w:t>
      </w:r>
    </w:p>
    <w:p w:rsidR="00DB22F9" w:rsidRPr="00B424A0" w:rsidRDefault="00DB22F9" w:rsidP="00DB22F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3.2. В состав Оргкомитета входят:</w:t>
      </w:r>
    </w:p>
    <w:p w:rsidR="00DB22F9" w:rsidRDefault="00DB22F9" w:rsidP="00DB22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специалист Департамента по делам молодежной политики и воспитательной работе;</w:t>
      </w:r>
    </w:p>
    <w:p w:rsidR="00DB22F9" w:rsidRDefault="00DB22F9" w:rsidP="00DB22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Департамента по делам молодежной политики и воспитательной работе;</w:t>
      </w:r>
    </w:p>
    <w:p w:rsidR="00DB22F9" w:rsidRDefault="00DB22F9" w:rsidP="00DB22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>Руководитель Студенческого парламентского клуба;</w:t>
      </w:r>
    </w:p>
    <w:p w:rsidR="00DB22F9" w:rsidRDefault="00DB22F9" w:rsidP="00DB22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Руководитель Проектного отдела; </w:t>
      </w:r>
    </w:p>
    <w:p w:rsidR="00DB22F9" w:rsidRDefault="00DB22F9" w:rsidP="00DB22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Руководитель </w:t>
      </w:r>
      <w:proofErr w:type="spellStart"/>
      <w:r w:rsidRPr="00734A59">
        <w:rPr>
          <w:rFonts w:ascii="Times New Roman" w:hAnsi="Times New Roman" w:cs="Times New Roman"/>
        </w:rPr>
        <w:t>Медиаком</w:t>
      </w:r>
      <w:proofErr w:type="spellEnd"/>
      <w:r w:rsidRPr="00734A59">
        <w:rPr>
          <w:rFonts w:ascii="Times New Roman" w:hAnsi="Times New Roman" w:cs="Times New Roman"/>
        </w:rPr>
        <w:t>;</w:t>
      </w:r>
    </w:p>
    <w:p w:rsidR="00DB22F9" w:rsidRDefault="00DB22F9" w:rsidP="00DB22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Председатель Волонтерского корпуса; </w:t>
      </w:r>
    </w:p>
    <w:p w:rsidR="00DB22F9" w:rsidRPr="00734A59" w:rsidRDefault="00DB22F9" w:rsidP="00DB22F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 xml:space="preserve">Председатель Книжного клуба. </w:t>
      </w:r>
    </w:p>
    <w:p w:rsidR="00DB22F9" w:rsidRPr="00B424A0" w:rsidRDefault="00DB22F9" w:rsidP="00DB22F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lastRenderedPageBreak/>
        <w:t>3.3. Оргкомитет: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 xml:space="preserve">Ведёт учёт и осуществляет окончательное утверждение начисления </w:t>
      </w:r>
      <w:r>
        <w:rPr>
          <w:rFonts w:ascii="Times New Roman" w:hAnsi="Times New Roman" w:cs="Times New Roman"/>
        </w:rPr>
        <w:t>баллов</w:t>
      </w:r>
      <w:r w:rsidRPr="00B424A0">
        <w:rPr>
          <w:rFonts w:ascii="Times New Roman" w:hAnsi="Times New Roman" w:cs="Times New Roman"/>
        </w:rPr>
        <w:t>.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Обеспечивает работу и развитие платформы для регистрации участников и отслеживания прогресса</w:t>
      </w:r>
      <w:r>
        <w:rPr>
          <w:rFonts w:ascii="Times New Roman" w:hAnsi="Times New Roman" w:cs="Times New Roman"/>
        </w:rPr>
        <w:t xml:space="preserve"> их достижений</w:t>
      </w:r>
      <w:r w:rsidRPr="00B424A0">
        <w:rPr>
          <w:rFonts w:ascii="Times New Roman" w:hAnsi="Times New Roman" w:cs="Times New Roman"/>
        </w:rPr>
        <w:t>.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Рассматривает и решает спорные вопросы, связанные с начислением баллов и их учётом.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Организует процедуру выдачи наград.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Имеет право вносить предложения по изменению и дополнению настоящего Положения.</w:t>
      </w:r>
    </w:p>
    <w:p w:rsidR="00DB22F9" w:rsidRDefault="00DB22F9" w:rsidP="00DB22F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4</w:t>
      </w:r>
      <w:r w:rsidRPr="00B424A0">
        <w:rPr>
          <w:rFonts w:ascii="Times New Roman" w:hAnsi="Times New Roman" w:cs="Times New Roman"/>
        </w:rPr>
        <w:t xml:space="preserve">. Баллы начисляются </w:t>
      </w:r>
      <w:r>
        <w:rPr>
          <w:rFonts w:ascii="Times New Roman" w:hAnsi="Times New Roman" w:cs="Times New Roman"/>
        </w:rPr>
        <w:t xml:space="preserve">в соответствии с пунктом 5.3 настоящего Положения. Спорные вопросы решаются на заседании Оргкомитета и решении о начислении баллов принимается большинством голосов. </w:t>
      </w:r>
    </w:p>
    <w:p w:rsidR="00DB22F9" w:rsidRPr="00B424A0" w:rsidRDefault="00DB22F9" w:rsidP="00DB22F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по результатам голосования членов Оргкомитета, присутствующих на заседании. Решение о начислении принимается большинством голосов.</w:t>
      </w:r>
    </w:p>
    <w:p w:rsidR="00DB22F9" w:rsidRPr="00B424A0" w:rsidRDefault="00DB22F9" w:rsidP="00DB22F9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5</w:t>
      </w:r>
      <w:r w:rsidRPr="00B424A0">
        <w:rPr>
          <w:rFonts w:ascii="Times New Roman" w:hAnsi="Times New Roman" w:cs="Times New Roman"/>
        </w:rPr>
        <w:t>. Оргкомитет находится по адресу: ул. Радио 22, 801 кабинет.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4. Участники Программы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4.1. Участниками Программы могут быть студенты Университета, обучающиеся по программам СПО, бакалавриата, специалитета и магистратуры очной формы обучения.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4.2. Для вступления в Программу студенту необходимо пройти процедуру регистрации через электронную форму, предоставленную Университетом.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4.3. За успешную регистрацию и вступление в Программу студенту единоразово начисляется </w:t>
      </w:r>
      <w:r w:rsidRPr="00B424A0">
        <w:rPr>
          <w:rFonts w:ascii="Times New Roman" w:hAnsi="Times New Roman" w:cs="Times New Roman"/>
          <w:b/>
          <w:bCs/>
        </w:rPr>
        <w:t>200 баллов</w:t>
      </w:r>
      <w:r w:rsidRPr="00B424A0">
        <w:rPr>
          <w:rFonts w:ascii="Times New Roman" w:hAnsi="Times New Roman" w:cs="Times New Roman"/>
        </w:rPr>
        <w:t>.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4.4. Обработка заявки на регистрацию осуществляется Оргкомитетом в срок до 10 (десяти) рабочих дней с момента её подачи.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  <w:b/>
          <w:bCs/>
        </w:rPr>
      </w:pPr>
      <w:r w:rsidRPr="00B424A0">
        <w:rPr>
          <w:rFonts w:ascii="Times New Roman" w:hAnsi="Times New Roman" w:cs="Times New Roman"/>
          <w:b/>
          <w:bCs/>
        </w:rPr>
        <w:t>5. Механизм начисления баллов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5.1. Единой расчетной единицей Программы является балл (далее – «енот»).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5.2. Начисление енотов осуществляется за участие в мероприятиях и реализацию проектов, соответствующих направлениям внеучебной деятельности Университета.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5.3. Базовый перечень активностей и размер вознаграждения: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612"/>
        <w:gridCol w:w="2333"/>
        <w:gridCol w:w="3292"/>
      </w:tblGrid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  <w:b/>
                <w:bCs/>
              </w:rPr>
            </w:pPr>
            <w:r w:rsidRPr="00B424A0">
              <w:rPr>
                <w:rFonts w:ascii="Times New Roman" w:hAnsi="Times New Roman" w:cs="Times New Roman"/>
                <w:b/>
                <w:bCs/>
              </w:rPr>
              <w:t>Наименование активности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  <w:b/>
                <w:bCs/>
              </w:rPr>
            </w:pPr>
            <w:r w:rsidRPr="00B424A0">
              <w:rPr>
                <w:rFonts w:ascii="Times New Roman" w:hAnsi="Times New Roman" w:cs="Times New Roman"/>
                <w:b/>
                <w:bCs/>
              </w:rPr>
              <w:t>Начисление (еноты)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  <w:b/>
                <w:bCs/>
              </w:rPr>
              <w:t>Механизм учёта и подтверждения</w:t>
            </w: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  <w:i/>
                <w:iCs/>
              </w:rPr>
            </w:pPr>
            <w:r w:rsidRPr="00B424A0">
              <w:rPr>
                <w:rFonts w:ascii="Times New Roman" w:hAnsi="Times New Roman" w:cs="Times New Roman"/>
                <w:i/>
                <w:iCs/>
              </w:rPr>
              <w:t>Регистрация в программе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  <w:b/>
                <w:bCs/>
              </w:rPr>
            </w:pPr>
            <w:r w:rsidRPr="00B424A0">
              <w:rPr>
                <w:rFonts w:ascii="Times New Roman" w:hAnsi="Times New Roman" w:cs="Times New Roman"/>
              </w:rPr>
              <w:t>Автоматическое начисление после подтверждения регистрации через электронную форму.</w:t>
            </w: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 xml:space="preserve">Гран-при Российской студенческой весны </w:t>
            </w:r>
            <w:r>
              <w:rPr>
                <w:rFonts w:ascii="Times New Roman" w:hAnsi="Times New Roman" w:cs="Times New Roman"/>
              </w:rPr>
              <w:t xml:space="preserve">(РСВ) 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Лауреат/спец. номинация в Р</w:t>
            </w:r>
            <w:r>
              <w:rPr>
                <w:rFonts w:ascii="Times New Roman" w:hAnsi="Times New Roman" w:cs="Times New Roman"/>
              </w:rPr>
              <w:t>СВ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lastRenderedPageBreak/>
              <w:t>Победитель конкурса РСВ (1,2,3 места)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(600/500/400)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Гран-при внешнего конкурса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Участник Российской студенческой весны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Председатель студенческого совета</w:t>
            </w:r>
          </w:p>
        </w:tc>
        <w:tc>
          <w:tcPr>
            <w:tcW w:w="233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 xml:space="preserve">Начисляются единоразово по истечении </w:t>
            </w:r>
            <w:r w:rsidRPr="00B424A0">
              <w:rPr>
                <w:rFonts w:ascii="Times New Roman" w:hAnsi="Times New Roman" w:cs="Times New Roman"/>
                <w:b/>
                <w:bCs/>
              </w:rPr>
              <w:t>6 месяцев</w:t>
            </w:r>
            <w:r w:rsidRPr="00B424A0">
              <w:rPr>
                <w:rFonts w:ascii="Times New Roman" w:hAnsi="Times New Roman" w:cs="Times New Roman"/>
              </w:rPr>
              <w:t xml:space="preserve"> непрерывного выполнения обязанностей</w:t>
            </w: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Участие в выборах на пост председателя студсовета университета (баллотирование и участие в дебатах)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Победитель внешнего конкурса (1/2/3 место)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300/ 250 / 200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Организация мероприятия в университете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Участие в донорских акциях и гуманитарных миссиях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Гран-при внутреннего конкурса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Написание научной статьи и выступление с докладом на конференции/симпозиуме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Руководитель студенческого объединения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Публикация научной статьи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Победитель внутреннего конкурса (1/2/3 место)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200/ 150/ 100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Участие во внешних мероприятиях (как представитель вуза)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Капитан группы поддержки университета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Именной стипендиат Правительства Москвы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Выдвижение кандидатом на пост председателя студсовета института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lastRenderedPageBreak/>
              <w:t>Написание сценария мероприяти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B424A0">
              <w:rPr>
                <w:rFonts w:ascii="Times New Roman" w:hAnsi="Times New Roman" w:cs="Times New Roman"/>
              </w:rPr>
              <w:t xml:space="preserve">вуза 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Начисляется </w:t>
            </w:r>
            <w:r w:rsidRPr="00B424A0">
              <w:rPr>
                <w:rFonts w:ascii="Times New Roman" w:hAnsi="Times New Roman" w:cs="Times New Roman"/>
                <w:b/>
                <w:bCs/>
              </w:rPr>
              <w:t>единоразово</w:t>
            </w:r>
            <w:r w:rsidRPr="00B424A0">
              <w:rPr>
                <w:rFonts w:ascii="Times New Roman" w:hAnsi="Times New Roman" w:cs="Times New Roman"/>
              </w:rPr>
              <w:t> после проведения мероприятия по данному сценарию.</w:t>
            </w: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Участие во внутренних мероприятиях (ведение мероприятий, выступление)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Староста группы (от 6-ти месяцев) / Куратор первокурсников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  <w:b/>
                <w:bCs/>
              </w:rPr>
              <w:t>Единоразовое начисление</w:t>
            </w:r>
            <w:r w:rsidRPr="00B424A0">
              <w:rPr>
                <w:rFonts w:ascii="Times New Roman" w:hAnsi="Times New Roman" w:cs="Times New Roman"/>
              </w:rPr>
              <w:t> по истечении 6 месяцев непрерывного выполнения обязанностей старосты группы. Подтверждается </w:t>
            </w:r>
            <w:r w:rsidRPr="00B424A0">
              <w:rPr>
                <w:rFonts w:ascii="Times New Roman" w:hAnsi="Times New Roman" w:cs="Times New Roman"/>
                <w:b/>
                <w:bCs/>
              </w:rPr>
              <w:t>официальной служебной запиской от куратора института, подписанной директором института,</w:t>
            </w:r>
            <w:r w:rsidRPr="00B424A0">
              <w:rPr>
                <w:rFonts w:ascii="Times New Roman" w:hAnsi="Times New Roman" w:cs="Times New Roman"/>
              </w:rPr>
              <w:t> </w:t>
            </w:r>
            <w:r w:rsidRPr="00B424A0">
              <w:rPr>
                <w:rFonts w:ascii="Times New Roman" w:hAnsi="Times New Roman" w:cs="Times New Roman"/>
                <w:b/>
                <w:bCs/>
              </w:rPr>
              <w:t xml:space="preserve">фото/скан которой загружается в личный кабинет программы, либо иным способом, </w:t>
            </w:r>
            <w:r w:rsidRPr="00B424A0">
              <w:rPr>
                <w:rFonts w:ascii="Times New Roman" w:hAnsi="Times New Roman" w:cs="Times New Roman"/>
              </w:rPr>
              <w:t>предусмотренным платформой.</w:t>
            </w: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Участник группы поддержки университета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Победитель внешнего турнира по настольным играм/</w:t>
            </w:r>
            <w:proofErr w:type="spellStart"/>
            <w:r w:rsidRPr="00B424A0">
              <w:rPr>
                <w:rFonts w:ascii="Times New Roman" w:hAnsi="Times New Roman" w:cs="Times New Roman"/>
              </w:rPr>
              <w:t>квизу</w:t>
            </w:r>
            <w:proofErr w:type="spellEnd"/>
            <w:r w:rsidRPr="00B424A0">
              <w:rPr>
                <w:rFonts w:ascii="Times New Roman" w:hAnsi="Times New Roman" w:cs="Times New Roman"/>
              </w:rPr>
              <w:t xml:space="preserve"> (1,2,3 место)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80/60/40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Победитель внутреннего турнира по настольным играм/</w:t>
            </w:r>
            <w:proofErr w:type="spellStart"/>
            <w:r w:rsidRPr="00B424A0">
              <w:rPr>
                <w:rFonts w:ascii="Times New Roman" w:hAnsi="Times New Roman" w:cs="Times New Roman"/>
              </w:rPr>
              <w:t>квизу</w:t>
            </w:r>
            <w:proofErr w:type="spellEnd"/>
            <w:r w:rsidRPr="00B424A0">
              <w:rPr>
                <w:rFonts w:ascii="Times New Roman" w:hAnsi="Times New Roman" w:cs="Times New Roman"/>
              </w:rPr>
              <w:t xml:space="preserve"> (1,2,3 место)</w:t>
            </w:r>
          </w:p>
        </w:tc>
        <w:tc>
          <w:tcPr>
            <w:tcW w:w="233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 xml:space="preserve">60/40/20 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 xml:space="preserve">Участие учитывается только в </w:t>
            </w:r>
            <w:proofErr w:type="spellStart"/>
            <w:r w:rsidRPr="00B424A0">
              <w:rPr>
                <w:rFonts w:ascii="Times New Roman" w:hAnsi="Times New Roman" w:cs="Times New Roman"/>
              </w:rPr>
              <w:t>квизах</w:t>
            </w:r>
            <w:proofErr w:type="spellEnd"/>
            <w:r w:rsidRPr="00B424A0">
              <w:rPr>
                <w:rFonts w:ascii="Times New Roman" w:hAnsi="Times New Roman" w:cs="Times New Roman"/>
              </w:rPr>
              <w:t xml:space="preserve">, включенных в календарный тематический план Департамента по делам молодёжной политики и воспитательной работе либо </w:t>
            </w:r>
            <w:r>
              <w:rPr>
                <w:rFonts w:ascii="Times New Roman" w:hAnsi="Times New Roman" w:cs="Times New Roman"/>
              </w:rPr>
              <w:t xml:space="preserve">организованном на основании приказом ректора. </w:t>
            </w: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Вступление в творческое объединение и посещение первой встречи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 xml:space="preserve">Уборка </w:t>
            </w:r>
            <w:proofErr w:type="spellStart"/>
            <w:r w:rsidRPr="00B424A0">
              <w:rPr>
                <w:rFonts w:ascii="Times New Roman" w:hAnsi="Times New Roman" w:cs="Times New Roman"/>
              </w:rPr>
              <w:t>гримерочного</w:t>
            </w:r>
            <w:proofErr w:type="spellEnd"/>
            <w:r w:rsidRPr="00B424A0">
              <w:rPr>
                <w:rFonts w:ascii="Times New Roman" w:hAnsi="Times New Roman" w:cs="Times New Roman"/>
              </w:rPr>
              <w:t xml:space="preserve"> помещения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Написание сценария для видеороликов/</w:t>
            </w:r>
            <w:proofErr w:type="spellStart"/>
            <w:r w:rsidRPr="00B424A0">
              <w:rPr>
                <w:rFonts w:ascii="Times New Roman" w:hAnsi="Times New Roman" w:cs="Times New Roman"/>
              </w:rPr>
              <w:t>рилсов</w:t>
            </w:r>
            <w:proofErr w:type="spellEnd"/>
            <w:r w:rsidRPr="00B424A0">
              <w:rPr>
                <w:rFonts w:ascii="Times New Roman" w:hAnsi="Times New Roman" w:cs="Times New Roman"/>
              </w:rPr>
              <w:t xml:space="preserve"> с последующей публикацией на интернет-платформах вуза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 xml:space="preserve">Участие во внутренних мероприятиях (работа в счетной </w:t>
            </w:r>
            <w:r w:rsidRPr="00B424A0">
              <w:rPr>
                <w:rFonts w:ascii="Times New Roman" w:hAnsi="Times New Roman" w:cs="Times New Roman"/>
              </w:rPr>
              <w:lastRenderedPageBreak/>
              <w:t>комиссии, волонтерская деятельность, «ласточки»)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Посещение встреч творческих объединений (со второй и далее)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Начисляется </w:t>
            </w:r>
            <w:r w:rsidRPr="00B424A0">
              <w:rPr>
                <w:rFonts w:ascii="Times New Roman" w:hAnsi="Times New Roman" w:cs="Times New Roman"/>
                <w:b/>
                <w:bCs/>
              </w:rPr>
              <w:t>за каждое посещение</w:t>
            </w:r>
            <w:r w:rsidRPr="00B424A0">
              <w:rPr>
                <w:rFonts w:ascii="Times New Roman" w:hAnsi="Times New Roman" w:cs="Times New Roman"/>
              </w:rPr>
              <w:t>, начиная со второй встречи в учебном году.</w:t>
            </w: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Посещение внешних мероприятий (в качестве зрителя)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Посещение внутренних мероприятий (в качестве зрителя)</w:t>
            </w:r>
          </w:p>
        </w:tc>
        <w:tc>
          <w:tcPr>
            <w:tcW w:w="2333" w:type="dxa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  <w:tr w:rsidR="00DB22F9" w:rsidRPr="00B424A0" w:rsidTr="00D03DB0">
        <w:tc>
          <w:tcPr>
            <w:tcW w:w="3669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 xml:space="preserve">Участие в мероприятиях СПК </w:t>
            </w:r>
          </w:p>
        </w:tc>
        <w:tc>
          <w:tcPr>
            <w:tcW w:w="233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Начисляется </w:t>
            </w:r>
            <w:r w:rsidRPr="00B424A0">
              <w:rPr>
                <w:rFonts w:ascii="Times New Roman" w:hAnsi="Times New Roman" w:cs="Times New Roman"/>
                <w:b/>
                <w:bCs/>
              </w:rPr>
              <w:t>согласно пункту 5.4</w:t>
            </w:r>
          </w:p>
        </w:tc>
        <w:tc>
          <w:tcPr>
            <w:tcW w:w="3293" w:type="dxa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</w:tc>
      </w:tr>
    </w:tbl>
    <w:p w:rsidR="00DB22F9" w:rsidRPr="00B424A0" w:rsidRDefault="00DB22F9" w:rsidP="00DB22F9">
      <w:pPr>
        <w:rPr>
          <w:rFonts w:ascii="Times New Roman" w:hAnsi="Times New Roman" w:cs="Times New Roman"/>
        </w:rPr>
      </w:pPr>
    </w:p>
    <w:p w:rsidR="00DB22F9" w:rsidRPr="00734A59" w:rsidRDefault="00DB22F9" w:rsidP="00DB22F9">
      <w:pPr>
        <w:pStyle w:val="ds-markdown-paragraph"/>
        <w:rPr>
          <w:rFonts w:eastAsiaTheme="minorHAnsi"/>
          <w:sz w:val="22"/>
          <w:szCs w:val="22"/>
          <w:lang w:eastAsia="en-US"/>
        </w:rPr>
      </w:pPr>
      <w:r w:rsidRPr="00734A59">
        <w:rPr>
          <w:rFonts w:eastAsiaTheme="minorHAnsi"/>
          <w:sz w:val="22"/>
          <w:szCs w:val="22"/>
          <w:lang w:eastAsia="en-US"/>
        </w:rPr>
        <w:t>5.4. Деятельность в рамках Студенческого Парламентского Клуба (СПК)</w:t>
      </w:r>
    </w:p>
    <w:p w:rsidR="00DB22F9" w:rsidRPr="00B424A0" w:rsidRDefault="00DB22F9" w:rsidP="00DB22F9">
      <w:pPr>
        <w:pStyle w:val="ds-markdown-paragraph"/>
        <w:jc w:val="both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Участие в мероприятиях, организованных Студенческим Парламентским Клубом (СПК) или проводимых при его непосредственном участии, учитывается и поощряется в рамках Программы. Конкретный размер начисления енотов за каждое мероприятие определяется Оргкомитетом в соответствии с его форматом, масштабом и вкладом участника.</w:t>
      </w:r>
    </w:p>
    <w:p w:rsidR="00DB22F9" w:rsidRPr="00B424A0" w:rsidRDefault="00DB22F9" w:rsidP="00DB22F9">
      <w:pPr>
        <w:pStyle w:val="ds-markdown-paragraph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К основным</w:t>
      </w:r>
      <w:r>
        <w:rPr>
          <w:rFonts w:eastAsiaTheme="minorHAnsi"/>
          <w:sz w:val="22"/>
          <w:szCs w:val="22"/>
          <w:lang w:eastAsia="en-US"/>
        </w:rPr>
        <w:t xml:space="preserve"> мероприятиям </w:t>
      </w:r>
      <w:r w:rsidRPr="00B424A0">
        <w:rPr>
          <w:rFonts w:eastAsiaTheme="minorHAnsi"/>
          <w:sz w:val="22"/>
          <w:szCs w:val="22"/>
          <w:lang w:eastAsia="en-US"/>
        </w:rPr>
        <w:t xml:space="preserve">СПК, </w:t>
      </w:r>
      <w:r>
        <w:rPr>
          <w:rFonts w:eastAsiaTheme="minorHAnsi"/>
          <w:sz w:val="22"/>
          <w:szCs w:val="22"/>
          <w:lang w:eastAsia="en-US"/>
        </w:rPr>
        <w:t>которые учитываются при подсчете енотов</w:t>
      </w:r>
      <w:r w:rsidRPr="00B424A0">
        <w:rPr>
          <w:rFonts w:eastAsiaTheme="minorHAnsi"/>
          <w:sz w:val="22"/>
          <w:szCs w:val="22"/>
          <w:lang w:eastAsia="en-US"/>
        </w:rPr>
        <w:t>, относятся:</w:t>
      </w:r>
    </w:p>
    <w:p w:rsidR="00DB22F9" w:rsidRPr="00B424A0" w:rsidRDefault="00DB22F9" w:rsidP="00DB22F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Лига дебатов;</w:t>
      </w:r>
    </w:p>
    <w:p w:rsidR="00DB22F9" w:rsidRPr="00B424A0" w:rsidRDefault="00DB22F9" w:rsidP="00DB22F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proofErr w:type="spellStart"/>
      <w:r w:rsidRPr="00B424A0">
        <w:rPr>
          <w:rFonts w:eastAsiaTheme="minorHAnsi"/>
          <w:sz w:val="22"/>
          <w:szCs w:val="22"/>
          <w:lang w:eastAsia="en-US"/>
        </w:rPr>
        <w:t>Дебат</w:t>
      </w:r>
      <w:proofErr w:type="spellEnd"/>
      <w:r w:rsidRPr="00B424A0">
        <w:rPr>
          <w:rFonts w:eastAsiaTheme="minorHAnsi"/>
          <w:sz w:val="22"/>
          <w:szCs w:val="22"/>
          <w:lang w:eastAsia="en-US"/>
        </w:rPr>
        <w:t>-Нокаут;</w:t>
      </w:r>
    </w:p>
    <w:p w:rsidR="00DB22F9" w:rsidRPr="00B424A0" w:rsidRDefault="00DB22F9" w:rsidP="00DB22F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Дискуссионные площадки;</w:t>
      </w:r>
    </w:p>
    <w:p w:rsidR="00DB22F9" w:rsidRPr="00B424A0" w:rsidRDefault="00DB22F9" w:rsidP="00DB22F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Выездные мероприятия (образовательные, спортивные, туристические);</w:t>
      </w:r>
    </w:p>
    <w:p w:rsidR="00DB22F9" w:rsidRPr="00B424A0" w:rsidRDefault="00DB22F9" w:rsidP="00DB22F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Организация и участие в сборах гуманитарной помощи;</w:t>
      </w:r>
    </w:p>
    <w:p w:rsidR="00DB22F9" w:rsidRPr="00B424A0" w:rsidRDefault="00DB22F9" w:rsidP="00DB22F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Участие в патриотических акциях;</w:t>
      </w:r>
    </w:p>
    <w:p w:rsidR="00DB22F9" w:rsidRPr="00B424A0" w:rsidRDefault="00DB22F9" w:rsidP="00DB22F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Работа в Законотворческой комиссии;</w:t>
      </w:r>
    </w:p>
    <w:p w:rsidR="00DB22F9" w:rsidRPr="00B424A0" w:rsidRDefault="00DB22F9" w:rsidP="00DB22F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Гонка Парламентариев;</w:t>
      </w:r>
    </w:p>
    <w:p w:rsidR="00DB22F9" w:rsidRPr="00B424A0" w:rsidRDefault="00DB22F9" w:rsidP="00DB22F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Студенческий Парламентский Час (СПЧ);</w:t>
      </w:r>
    </w:p>
    <w:p w:rsidR="00DB22F9" w:rsidRPr="00B424A0" w:rsidRDefault="00DB22F9" w:rsidP="00DB22F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proofErr w:type="spellStart"/>
      <w:r w:rsidRPr="00B424A0">
        <w:rPr>
          <w:rFonts w:eastAsiaTheme="minorHAnsi"/>
          <w:sz w:val="22"/>
          <w:szCs w:val="22"/>
          <w:lang w:eastAsia="en-US"/>
        </w:rPr>
        <w:t>ПолитПикник</w:t>
      </w:r>
      <w:proofErr w:type="spellEnd"/>
      <w:r w:rsidRPr="00B424A0">
        <w:rPr>
          <w:rFonts w:eastAsiaTheme="minorHAnsi"/>
          <w:sz w:val="22"/>
          <w:szCs w:val="22"/>
          <w:lang w:eastAsia="en-US"/>
        </w:rPr>
        <w:t>;</w:t>
      </w:r>
    </w:p>
    <w:p w:rsidR="00DB22F9" w:rsidRPr="00B424A0" w:rsidRDefault="00DB22F9" w:rsidP="00DB22F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proofErr w:type="spellStart"/>
      <w:r w:rsidRPr="00B424A0">
        <w:rPr>
          <w:rFonts w:eastAsiaTheme="minorHAnsi"/>
          <w:sz w:val="22"/>
          <w:szCs w:val="22"/>
          <w:lang w:eastAsia="en-US"/>
        </w:rPr>
        <w:t>ПолитКухня</w:t>
      </w:r>
      <w:proofErr w:type="spellEnd"/>
      <w:r w:rsidRPr="00B424A0">
        <w:rPr>
          <w:rFonts w:eastAsiaTheme="minorHAnsi"/>
          <w:sz w:val="22"/>
          <w:szCs w:val="22"/>
          <w:lang w:eastAsia="en-US"/>
        </w:rPr>
        <w:t>;</w:t>
      </w:r>
    </w:p>
    <w:p w:rsidR="00DB22F9" w:rsidRPr="00B424A0" w:rsidRDefault="00DB22F9" w:rsidP="00DB22F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Участие в акциях донорства;</w:t>
      </w:r>
    </w:p>
    <w:p w:rsidR="00DB22F9" w:rsidRPr="00B424A0" w:rsidRDefault="00DB22F9" w:rsidP="00DB22F9">
      <w:pPr>
        <w:pStyle w:val="ds-markdown-paragraph"/>
        <w:numPr>
          <w:ilvl w:val="0"/>
          <w:numId w:val="4"/>
        </w:numPr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Работа в Медиа-штабе СПК и др.</w:t>
      </w:r>
    </w:p>
    <w:p w:rsidR="00DB22F9" w:rsidRPr="00B424A0" w:rsidRDefault="00DB22F9" w:rsidP="00DB22F9">
      <w:pPr>
        <w:pStyle w:val="ds-markdown-paragraph"/>
        <w:jc w:val="both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 xml:space="preserve">Учет активности и начисление енотов за мероприятия СПК осуществляется Оргкомитетом Программы. </w:t>
      </w:r>
    </w:p>
    <w:p w:rsidR="00DB22F9" w:rsidRPr="00734A59" w:rsidRDefault="00DB22F9" w:rsidP="00DB22F9">
      <w:pPr>
        <w:pStyle w:val="ds-markdown-paragraph"/>
        <w:rPr>
          <w:rFonts w:eastAsiaTheme="minorHAnsi"/>
          <w:sz w:val="22"/>
          <w:szCs w:val="22"/>
          <w:lang w:eastAsia="en-US"/>
        </w:rPr>
      </w:pPr>
      <w:r w:rsidRPr="00734A59">
        <w:rPr>
          <w:rFonts w:eastAsiaTheme="minorHAnsi"/>
          <w:sz w:val="22"/>
          <w:szCs w:val="22"/>
          <w:lang w:eastAsia="en-US"/>
        </w:rPr>
        <w:t>5.5. Рассмотрение индивидуальных заявок</w:t>
      </w:r>
    </w:p>
    <w:p w:rsidR="00DB22F9" w:rsidRPr="00B424A0" w:rsidRDefault="00DB22F9" w:rsidP="00DB22F9">
      <w:pPr>
        <w:pStyle w:val="ds-markdown-paragraph"/>
        <w:jc w:val="both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5.5.1. Оргкомитет программы «</w:t>
      </w:r>
      <w:proofErr w:type="spellStart"/>
      <w:r w:rsidRPr="00B424A0">
        <w:rPr>
          <w:rFonts w:eastAsiaTheme="minorHAnsi"/>
          <w:sz w:val="22"/>
          <w:szCs w:val="22"/>
          <w:lang w:eastAsia="en-US"/>
        </w:rPr>
        <w:t>Внеучебка</w:t>
      </w:r>
      <w:proofErr w:type="spellEnd"/>
      <w:r w:rsidRPr="00B424A0">
        <w:rPr>
          <w:rFonts w:eastAsiaTheme="minorHAnsi"/>
          <w:sz w:val="22"/>
          <w:szCs w:val="22"/>
          <w:lang w:eastAsia="en-US"/>
        </w:rPr>
        <w:t xml:space="preserve"> 2.0» оставляет за собой право рассматривать индивидуальные заявки участников на начисление енотов за активности, не предусмотренные настоящим Положением, либо за деятельность, имеющую значительный вклад во внеучебную жизнь Университета.</w:t>
      </w:r>
    </w:p>
    <w:p w:rsidR="00DB22F9" w:rsidRPr="00B424A0" w:rsidRDefault="00DB22F9" w:rsidP="00DB22F9">
      <w:pPr>
        <w:pStyle w:val="ds-markdown-paragraph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 xml:space="preserve">5.5.2. </w:t>
      </w:r>
      <w:r w:rsidRPr="008D5A18">
        <w:rPr>
          <w:rFonts w:eastAsiaTheme="minorHAnsi"/>
          <w:bCs/>
          <w:sz w:val="22"/>
          <w:szCs w:val="22"/>
          <w:lang w:eastAsia="en-US"/>
        </w:rPr>
        <w:t>Размер начисления</w:t>
      </w:r>
      <w:r>
        <w:rPr>
          <w:rFonts w:eastAsiaTheme="minorHAnsi"/>
          <w:bCs/>
          <w:sz w:val="22"/>
          <w:szCs w:val="22"/>
          <w:lang w:eastAsia="en-US"/>
        </w:rPr>
        <w:t xml:space="preserve"> по индивидуальным заявкам</w:t>
      </w:r>
      <w:r w:rsidRPr="008D5A18">
        <w:rPr>
          <w:rFonts w:eastAsiaTheme="minorHAnsi"/>
          <w:bCs/>
          <w:sz w:val="22"/>
          <w:szCs w:val="22"/>
          <w:lang w:eastAsia="en-US"/>
        </w:rPr>
        <w:t xml:space="preserve"> определяется исходя из схожих категорий активностей, присутствующих в Программе.</w:t>
      </w:r>
    </w:p>
    <w:p w:rsidR="00DB22F9" w:rsidRPr="00B424A0" w:rsidRDefault="00DB22F9" w:rsidP="00DB22F9">
      <w:pPr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6. Уровни и ступени прогресса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lastRenderedPageBreak/>
        <w:t>6.1. Система предусматривает 7 уровней, отражающих статус и активность студента. Каждый уровень включает несколько ступеней с наградами.</w:t>
      </w:r>
    </w:p>
    <w:p w:rsidR="00DB22F9" w:rsidRPr="00B424A0" w:rsidRDefault="00DB22F9" w:rsidP="00DB22F9">
      <w:pPr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6.2. Уровни:</w:t>
      </w:r>
    </w:p>
    <w:p w:rsidR="00DB22F9" w:rsidRPr="00B424A0" w:rsidRDefault="00DB22F9" w:rsidP="00DB22F9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100+</w:t>
      </w:r>
      <w:r w:rsidRPr="00B424A0">
        <w:rPr>
          <w:rFonts w:ascii="Times New Roman" w:hAnsi="Times New Roman" w:cs="Times New Roman"/>
        </w:rPr>
        <w:t> — </w:t>
      </w:r>
      <w:r w:rsidRPr="00B424A0">
        <w:rPr>
          <w:rFonts w:ascii="Times New Roman" w:hAnsi="Times New Roman" w:cs="Times New Roman"/>
          <w:b/>
          <w:bCs/>
        </w:rPr>
        <w:t>Цепной активист</w:t>
      </w:r>
      <w:r w:rsidRPr="00B424A0">
        <w:rPr>
          <w:rFonts w:ascii="Times New Roman" w:hAnsi="Times New Roman" w:cs="Times New Roman"/>
        </w:rPr>
        <w:t> </w:t>
      </w:r>
    </w:p>
    <w:p w:rsidR="00DB22F9" w:rsidRPr="00B424A0" w:rsidRDefault="00DB22F9" w:rsidP="00DB22F9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300+</w:t>
      </w:r>
      <w:r w:rsidRPr="00B424A0">
        <w:rPr>
          <w:rFonts w:ascii="Times New Roman" w:hAnsi="Times New Roman" w:cs="Times New Roman"/>
        </w:rPr>
        <w:t> — </w:t>
      </w:r>
      <w:r w:rsidRPr="00B424A0">
        <w:rPr>
          <w:rFonts w:ascii="Times New Roman" w:hAnsi="Times New Roman" w:cs="Times New Roman"/>
          <w:b/>
          <w:bCs/>
        </w:rPr>
        <w:t>Медийный представитель</w:t>
      </w:r>
      <w:r w:rsidRPr="00B424A0">
        <w:rPr>
          <w:rFonts w:ascii="Times New Roman" w:hAnsi="Times New Roman" w:cs="Times New Roman"/>
        </w:rPr>
        <w:t> </w:t>
      </w:r>
    </w:p>
    <w:p w:rsidR="00DB22F9" w:rsidRPr="00B424A0" w:rsidRDefault="00DB22F9" w:rsidP="00DB22F9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600+</w:t>
      </w:r>
      <w:r w:rsidRPr="00B424A0">
        <w:rPr>
          <w:rFonts w:ascii="Times New Roman" w:hAnsi="Times New Roman" w:cs="Times New Roman"/>
        </w:rPr>
        <w:t> — </w:t>
      </w:r>
      <w:r w:rsidRPr="00B424A0">
        <w:rPr>
          <w:rFonts w:ascii="Times New Roman" w:hAnsi="Times New Roman" w:cs="Times New Roman"/>
          <w:b/>
          <w:bCs/>
        </w:rPr>
        <w:t>Хладнокровный стратег</w:t>
      </w:r>
      <w:r w:rsidRPr="00B424A0">
        <w:rPr>
          <w:rFonts w:ascii="Times New Roman" w:hAnsi="Times New Roman" w:cs="Times New Roman"/>
        </w:rPr>
        <w:t> </w:t>
      </w:r>
    </w:p>
    <w:p w:rsidR="00DB22F9" w:rsidRPr="00B424A0" w:rsidRDefault="00DB22F9" w:rsidP="00DB22F9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1 000+</w:t>
      </w:r>
      <w:r w:rsidRPr="00B424A0">
        <w:rPr>
          <w:rFonts w:ascii="Times New Roman" w:hAnsi="Times New Roman" w:cs="Times New Roman"/>
        </w:rPr>
        <w:t> — </w:t>
      </w:r>
      <w:r w:rsidRPr="00B424A0">
        <w:rPr>
          <w:rFonts w:ascii="Times New Roman" w:hAnsi="Times New Roman" w:cs="Times New Roman"/>
          <w:b/>
          <w:bCs/>
        </w:rPr>
        <w:t>Главный по движу</w:t>
      </w:r>
      <w:r w:rsidRPr="00B424A0">
        <w:rPr>
          <w:rFonts w:ascii="Times New Roman" w:hAnsi="Times New Roman" w:cs="Times New Roman"/>
        </w:rPr>
        <w:t> </w:t>
      </w:r>
    </w:p>
    <w:p w:rsidR="00DB22F9" w:rsidRPr="00B424A0" w:rsidRDefault="00DB22F9" w:rsidP="00DB22F9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2 500+</w:t>
      </w:r>
      <w:r w:rsidRPr="00B424A0">
        <w:rPr>
          <w:rFonts w:ascii="Times New Roman" w:hAnsi="Times New Roman" w:cs="Times New Roman"/>
        </w:rPr>
        <w:t> — </w:t>
      </w:r>
      <w:r w:rsidRPr="00B424A0">
        <w:rPr>
          <w:rFonts w:ascii="Times New Roman" w:hAnsi="Times New Roman" w:cs="Times New Roman"/>
          <w:b/>
          <w:bCs/>
        </w:rPr>
        <w:t>Студенческий Босс</w:t>
      </w:r>
      <w:r w:rsidRPr="00B424A0">
        <w:rPr>
          <w:rFonts w:ascii="Times New Roman" w:hAnsi="Times New Roman" w:cs="Times New Roman"/>
        </w:rPr>
        <w:t> </w:t>
      </w:r>
    </w:p>
    <w:p w:rsidR="00DB22F9" w:rsidRPr="00B424A0" w:rsidRDefault="00DB22F9" w:rsidP="00DB22F9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5 000+</w:t>
      </w:r>
      <w:r w:rsidRPr="00B424A0">
        <w:rPr>
          <w:rFonts w:ascii="Times New Roman" w:hAnsi="Times New Roman" w:cs="Times New Roman"/>
        </w:rPr>
        <w:t> — </w:t>
      </w:r>
      <w:proofErr w:type="spellStart"/>
      <w:r w:rsidRPr="00B424A0">
        <w:rPr>
          <w:rFonts w:ascii="Times New Roman" w:hAnsi="Times New Roman" w:cs="Times New Roman"/>
          <w:b/>
          <w:bCs/>
        </w:rPr>
        <w:t>Бомбический</w:t>
      </w:r>
      <w:proofErr w:type="spellEnd"/>
      <w:r w:rsidRPr="00B424A0">
        <w:rPr>
          <w:rFonts w:ascii="Times New Roman" w:hAnsi="Times New Roman" w:cs="Times New Roman"/>
          <w:b/>
          <w:bCs/>
        </w:rPr>
        <w:t xml:space="preserve"> мастер</w:t>
      </w:r>
      <w:r w:rsidRPr="00B424A0">
        <w:rPr>
          <w:rFonts w:ascii="Times New Roman" w:hAnsi="Times New Roman" w:cs="Times New Roman"/>
        </w:rPr>
        <w:t> </w:t>
      </w:r>
    </w:p>
    <w:p w:rsidR="00DB22F9" w:rsidRPr="00B424A0" w:rsidRDefault="00DB22F9" w:rsidP="00DB22F9">
      <w:pPr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10 000+</w:t>
      </w:r>
      <w:r w:rsidRPr="00B424A0">
        <w:rPr>
          <w:rFonts w:ascii="Times New Roman" w:hAnsi="Times New Roman" w:cs="Times New Roman"/>
        </w:rPr>
        <w:t> — </w:t>
      </w:r>
      <w:r w:rsidRPr="00B424A0">
        <w:rPr>
          <w:rFonts w:ascii="Times New Roman" w:hAnsi="Times New Roman" w:cs="Times New Roman"/>
          <w:b/>
          <w:bCs/>
        </w:rPr>
        <w:t>Легенда РосНОУ</w:t>
      </w:r>
    </w:p>
    <w:p w:rsidR="00DB22F9" w:rsidRPr="00B424A0" w:rsidRDefault="00DB22F9" w:rsidP="00DB22F9">
      <w:pPr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7. Награды и их обмен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7.1. За накопленные еноты можно получать материальные и нематериальные награды, а также накапливать баллы для общеуниверситетского зачёта «Кубок ректора».</w:t>
      </w:r>
    </w:p>
    <w:p w:rsidR="00DB22F9" w:rsidRPr="00B424A0" w:rsidRDefault="00DB22F9" w:rsidP="00DB22F9">
      <w:pPr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7.2. Перечень наград и стоимость: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701"/>
        <w:gridCol w:w="2202"/>
      </w:tblGrid>
      <w:tr w:rsidR="00DB22F9" w:rsidRPr="00B424A0" w:rsidTr="00D03DB0">
        <w:trPr>
          <w:tblHeader/>
        </w:trPr>
        <w:tc>
          <w:tcPr>
            <w:tcW w:w="1134" w:type="dxa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  <w:b/>
                <w:bCs/>
              </w:rPr>
            </w:pPr>
            <w:r w:rsidRPr="00B424A0">
              <w:rPr>
                <w:rFonts w:ascii="Times New Roman" w:hAnsi="Times New Roman" w:cs="Times New Roman"/>
                <w:b/>
                <w:bCs/>
              </w:rPr>
              <w:t>Ступень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  <w:b/>
                <w:bCs/>
              </w:rPr>
            </w:pPr>
            <w:r w:rsidRPr="00B424A0">
              <w:rPr>
                <w:rFonts w:ascii="Times New Roman" w:hAnsi="Times New Roman" w:cs="Times New Roman"/>
                <w:b/>
                <w:bCs/>
              </w:rPr>
              <w:t>Награда или вклад в Кубок 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  <w:b/>
                <w:bCs/>
              </w:rPr>
            </w:pPr>
            <w:r w:rsidRPr="00B424A0">
              <w:rPr>
                <w:rFonts w:ascii="Times New Roman" w:hAnsi="Times New Roman" w:cs="Times New Roman"/>
                <w:b/>
                <w:bCs/>
              </w:rPr>
              <w:t>Стоимость (еноты)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Набор брендированных наклеек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300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 xml:space="preserve">Брендированная канцелярия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500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 балл в Кубок 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700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 xml:space="preserve">Набор брендированных стикеров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800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 балл в Кубок 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950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Блокнот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1 000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2 балла в Кубок 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2 500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 xml:space="preserve">Распечатать </w:t>
            </w:r>
            <w:proofErr w:type="spellStart"/>
            <w:r w:rsidRPr="00B424A0">
              <w:rPr>
                <w:rFonts w:ascii="Times New Roman" w:hAnsi="Times New Roman" w:cs="Times New Roman"/>
              </w:rPr>
              <w:t>курсач</w:t>
            </w:r>
            <w:proofErr w:type="spellEnd"/>
            <w:r w:rsidRPr="00B424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2 800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На выбор: Фирменная футболка/</w:t>
            </w:r>
            <w:proofErr w:type="spellStart"/>
            <w:r w:rsidRPr="00B424A0">
              <w:rPr>
                <w:rFonts w:ascii="Times New Roman" w:hAnsi="Times New Roman" w:cs="Times New Roman"/>
              </w:rPr>
              <w:t>шоппер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3 000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  <w:lang w:val="en-US"/>
              </w:rPr>
            </w:pPr>
            <w:r w:rsidRPr="00B424A0">
              <w:rPr>
                <w:rFonts w:ascii="Times New Roman" w:hAnsi="Times New Roman" w:cs="Times New Roman"/>
              </w:rPr>
              <w:t>Скидка на обучение 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4 000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2 балла в Кубок 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4 500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 xml:space="preserve">На выбор: Размещение личного фото на экране или в холле; фирменный </w:t>
            </w:r>
            <w:proofErr w:type="spellStart"/>
            <w:r w:rsidRPr="00B424A0">
              <w:rPr>
                <w:rFonts w:ascii="Times New Roman" w:hAnsi="Times New Roman" w:cs="Times New Roman"/>
              </w:rPr>
              <w:t>шоппер</w:t>
            </w:r>
            <w:proofErr w:type="spellEnd"/>
            <w:r w:rsidRPr="00B424A0">
              <w:rPr>
                <w:rFonts w:ascii="Times New Roman" w:hAnsi="Times New Roman" w:cs="Times New Roman"/>
              </w:rPr>
              <w:t xml:space="preserve"> или футболка </w:t>
            </w:r>
          </w:p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</w:p>
          <w:p w:rsidR="00DB22F9" w:rsidRPr="00B424A0" w:rsidRDefault="00DB22F9" w:rsidP="00D03DB0">
            <w:pPr>
              <w:rPr>
                <w:rFonts w:ascii="Times New Roman" w:hAnsi="Times New Roman" w:cs="Times New Roman"/>
                <w:i/>
                <w:iCs/>
              </w:rPr>
            </w:pPr>
            <w:r w:rsidRPr="00B424A0">
              <w:rPr>
                <w:rFonts w:ascii="Times New Roman" w:hAnsi="Times New Roman" w:cs="Times New Roman"/>
                <w:i/>
                <w:iCs/>
              </w:rPr>
              <w:t>*Фото должно соответствовать общеуниверситетским стандартам: быть качественным, содержать изображение только заявившегося студента, иметь нейтральный или официальный фон. Запрещено размещение фотографий интимного характера, провокационного содержания, а также изображений, пропагандирующих вредные привычки, насилие или содержащих иной недопустимый контент. Окончательное решение о допустимости контента остается за Оргкомитетом.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5 000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  <w:lang w:val="en-US"/>
              </w:rPr>
              <w:t>1</w:t>
            </w:r>
            <w:r w:rsidRPr="00B424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  <w:lang w:val="en-US"/>
              </w:rPr>
            </w:pPr>
            <w:r w:rsidRPr="00B424A0">
              <w:rPr>
                <w:rFonts w:ascii="Times New Roman" w:hAnsi="Times New Roman" w:cs="Times New Roman"/>
              </w:rPr>
              <w:t>Скидка на обучение 10</w:t>
            </w:r>
            <w:r w:rsidRPr="00B424A0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6 000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3 балла в Кубок ректора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 xml:space="preserve">7 </w:t>
            </w:r>
            <w:r w:rsidRPr="00B424A0">
              <w:rPr>
                <w:rFonts w:ascii="Times New Roman" w:hAnsi="Times New Roman" w:cs="Times New Roman"/>
                <w:lang w:val="en-US"/>
              </w:rPr>
              <w:t>0</w:t>
            </w:r>
            <w:r w:rsidRPr="00B424A0">
              <w:rPr>
                <w:rFonts w:ascii="Times New Roman" w:hAnsi="Times New Roman" w:cs="Times New Roman"/>
              </w:rPr>
              <w:t>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  <w:lang w:val="en-US"/>
              </w:rPr>
            </w:pPr>
            <w:r w:rsidRPr="00B424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  <w:b/>
                <w:bCs/>
              </w:rPr>
              <w:t xml:space="preserve">Бизнес-ланч с ректором/проректором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8 000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  <w:lang w:val="en-US"/>
              </w:rPr>
              <w:t>1</w:t>
            </w:r>
            <w:r w:rsidRPr="00B424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  <w:lang w:val="en-US"/>
              </w:rPr>
            </w:pPr>
            <w:r w:rsidRPr="00B424A0">
              <w:rPr>
                <w:rFonts w:ascii="Times New Roman" w:hAnsi="Times New Roman" w:cs="Times New Roman"/>
              </w:rPr>
              <w:t>Скидка на обучение 15</w:t>
            </w:r>
            <w:r w:rsidRPr="00B424A0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8 500</w:t>
            </w:r>
          </w:p>
        </w:tc>
      </w:tr>
      <w:tr w:rsidR="00DB22F9" w:rsidRPr="00B424A0" w:rsidTr="00D03DB0">
        <w:tc>
          <w:tcPr>
            <w:tcW w:w="1134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  <w:lang w:val="en-US"/>
              </w:rPr>
              <w:t>1</w:t>
            </w:r>
            <w:r w:rsidRPr="00B424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424A0">
              <w:rPr>
                <w:rFonts w:ascii="Times New Roman" w:hAnsi="Times New Roman" w:cs="Times New Roman"/>
                <w:b/>
                <w:bCs/>
              </w:rPr>
              <w:t>Скидка на обучение 20</w:t>
            </w:r>
            <w:r w:rsidRPr="00B424A0"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B22F9" w:rsidRPr="00B424A0" w:rsidRDefault="00DB22F9" w:rsidP="00D03DB0">
            <w:pPr>
              <w:rPr>
                <w:rFonts w:ascii="Times New Roman" w:hAnsi="Times New Roman" w:cs="Times New Roman"/>
              </w:rPr>
            </w:pPr>
            <w:r w:rsidRPr="00B424A0">
              <w:rPr>
                <w:rFonts w:ascii="Times New Roman" w:hAnsi="Times New Roman" w:cs="Times New Roman"/>
              </w:rPr>
              <w:t>10 000</w:t>
            </w:r>
          </w:p>
        </w:tc>
      </w:tr>
    </w:tbl>
    <w:p w:rsidR="00DB22F9" w:rsidRPr="00B424A0" w:rsidRDefault="00DB22F9" w:rsidP="00DB22F9">
      <w:pPr>
        <w:rPr>
          <w:rFonts w:ascii="Times New Roman" w:hAnsi="Times New Roman" w:cs="Times New Roman"/>
        </w:rPr>
      </w:pP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 xml:space="preserve">7.2.1. </w:t>
      </w:r>
      <w:r w:rsidRPr="00734A59">
        <w:rPr>
          <w:rFonts w:ascii="Times New Roman" w:hAnsi="Times New Roman" w:cs="Times New Roman"/>
        </w:rPr>
        <w:t>Условия получения скидки на обучение:</w:t>
      </w:r>
      <w:r w:rsidRPr="00734A59">
        <w:rPr>
          <w:rFonts w:ascii="Times New Roman" w:hAnsi="Times New Roman" w:cs="Times New Roman"/>
        </w:rPr>
        <w:br/>
      </w:r>
      <w:r w:rsidRPr="00B424A0">
        <w:rPr>
          <w:rFonts w:ascii="Times New Roman" w:hAnsi="Times New Roman" w:cs="Times New Roman"/>
        </w:rPr>
        <w:t>Право на обмен енотов на скидку на обучение (ступени 10, 13, 16, 17) имеют только студенты, не имеющие академической задолженности и обучающиеся на оценки «хорошо» и «отлично» по итогам сессии, предшествующей подаче заявки на обмен. Факт отсутствия задолженности и успеваемость подтверждаются данными из электронной информационной системы Университета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lastRenderedPageBreak/>
        <w:t>7.3. Обмен енотов на награды производится путем подачи заявки через личный кабинет в Программе.</w:t>
      </w:r>
    </w:p>
    <w:p w:rsidR="00DB22F9" w:rsidRPr="00B424A0" w:rsidRDefault="00DB22F9" w:rsidP="00DB22F9">
      <w:pPr>
        <w:pStyle w:val="ds-markdown-paragraph"/>
        <w:jc w:val="both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b/>
          <w:bCs/>
          <w:sz w:val="22"/>
          <w:szCs w:val="22"/>
          <w:lang w:eastAsia="en-US"/>
        </w:rPr>
        <w:t>8. Главный приз</w:t>
      </w:r>
    </w:p>
    <w:p w:rsidR="00DB22F9" w:rsidRPr="00B424A0" w:rsidRDefault="00DB22F9" w:rsidP="00DB22F9">
      <w:pPr>
        <w:pStyle w:val="ds-markdown-paragraph"/>
        <w:jc w:val="both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8.1. По итогам учебного года </w:t>
      </w:r>
      <w:r w:rsidRPr="00B424A0">
        <w:rPr>
          <w:rFonts w:eastAsiaTheme="minorHAnsi"/>
          <w:b/>
          <w:bCs/>
          <w:sz w:val="22"/>
          <w:szCs w:val="22"/>
          <w:lang w:eastAsia="en-US"/>
        </w:rPr>
        <w:t>Топ-20 студентов</w:t>
      </w:r>
      <w:r w:rsidRPr="00B424A0">
        <w:rPr>
          <w:rFonts w:eastAsiaTheme="minorHAnsi"/>
          <w:sz w:val="22"/>
          <w:szCs w:val="22"/>
          <w:lang w:eastAsia="en-US"/>
        </w:rPr>
        <w:t>, набравших наибольшее количество енотов в течение учебного года, награждаются главным призом.</w:t>
      </w:r>
    </w:p>
    <w:p w:rsidR="00DB22F9" w:rsidRPr="00B424A0" w:rsidRDefault="00DB22F9" w:rsidP="00DB22F9">
      <w:pPr>
        <w:pStyle w:val="ds-markdown-paragraph"/>
        <w:jc w:val="both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8.2. Главным призом является </w:t>
      </w:r>
      <w:r w:rsidRPr="00B424A0">
        <w:rPr>
          <w:rFonts w:eastAsiaTheme="minorHAnsi"/>
          <w:b/>
          <w:bCs/>
          <w:sz w:val="22"/>
          <w:szCs w:val="22"/>
          <w:lang w:eastAsia="en-US"/>
        </w:rPr>
        <w:t>участие в вечеринке на теплоходе</w:t>
      </w:r>
      <w:r w:rsidRPr="00B424A0">
        <w:rPr>
          <w:rFonts w:eastAsiaTheme="minorHAnsi"/>
          <w:sz w:val="22"/>
          <w:szCs w:val="22"/>
          <w:lang w:eastAsia="en-US"/>
        </w:rPr>
        <w:t>, организуемой Университетом.</w:t>
      </w:r>
    </w:p>
    <w:p w:rsidR="00DB22F9" w:rsidRPr="00B424A0" w:rsidRDefault="00DB22F9" w:rsidP="00DB22F9">
      <w:pPr>
        <w:pStyle w:val="ds-markdown-paragraph"/>
        <w:jc w:val="both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8.3. Оргкомитет оставляет за собой право определить дату, время и формат проведения мероприятия, о чем победители будут уведомлены заблаговременно.</w:t>
      </w:r>
    </w:p>
    <w:p w:rsidR="00DB22F9" w:rsidRPr="00B424A0" w:rsidRDefault="00DB22F9" w:rsidP="00DB22F9">
      <w:pPr>
        <w:pStyle w:val="ds-markdown-paragraph"/>
        <w:jc w:val="both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8.4. В случае, если победитель не может принять участие в мероприятии по уважительной причине, его место переходит следующему по рейтингу студенту из официального списка Топ-20.</w:t>
      </w:r>
    </w:p>
    <w:p w:rsidR="00DB22F9" w:rsidRPr="00B424A0" w:rsidRDefault="00DB22F9" w:rsidP="00DB22F9">
      <w:pPr>
        <w:pStyle w:val="ds-markdown-paragraph"/>
        <w:spacing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B424A0">
        <w:rPr>
          <w:rFonts w:eastAsiaTheme="minorHAnsi"/>
          <w:sz w:val="22"/>
          <w:szCs w:val="22"/>
          <w:lang w:eastAsia="en-US"/>
        </w:rPr>
        <w:t>8.5. Главный приз не компенсируется денежным эквивалентом и не переносится на следующий учебный год.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  <w:b/>
          <w:bCs/>
        </w:rPr>
      </w:pPr>
    </w:p>
    <w:p w:rsidR="00DB22F9" w:rsidRPr="00B424A0" w:rsidRDefault="00DB22F9" w:rsidP="00DB22F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424A0">
        <w:rPr>
          <w:rFonts w:ascii="Times New Roman" w:hAnsi="Times New Roman" w:cs="Times New Roman"/>
          <w:b/>
          <w:bCs/>
        </w:rPr>
        <w:t>9. Аннулирование достижений</w:t>
      </w:r>
    </w:p>
    <w:p w:rsidR="00DB22F9" w:rsidRPr="00B424A0" w:rsidRDefault="00DB22F9" w:rsidP="00DB22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DB22F9" w:rsidRPr="00B424A0" w:rsidRDefault="00DB22F9" w:rsidP="00DB22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9.1. Оргкомитет программы «</w:t>
      </w:r>
      <w:proofErr w:type="spellStart"/>
      <w:r w:rsidRPr="00B424A0">
        <w:rPr>
          <w:rFonts w:ascii="Times New Roman" w:hAnsi="Times New Roman" w:cs="Times New Roman"/>
        </w:rPr>
        <w:t>Внеучебка</w:t>
      </w:r>
      <w:proofErr w:type="spellEnd"/>
      <w:r w:rsidRPr="00B424A0">
        <w:rPr>
          <w:rFonts w:ascii="Times New Roman" w:hAnsi="Times New Roman" w:cs="Times New Roman"/>
        </w:rPr>
        <w:t xml:space="preserve"> 2.0» оставляет за собой право полностью аннулировать все накопленные участником еноты и лишить его права участия в программе в случае систематического злоупотребления правилами или совершения действий, наносящих ущерб репутации программы или Университета.</w:t>
      </w:r>
    </w:p>
    <w:p w:rsidR="00DB22F9" w:rsidRPr="00B424A0" w:rsidRDefault="00DB22F9" w:rsidP="00DB22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22F9" w:rsidRPr="00B424A0" w:rsidRDefault="00DB22F9" w:rsidP="00DB22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9.2. Под злоупотреблением программы понимаются: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Регулярное предоставление заведомо ложной или недостоверной информации для получения енотов;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Создание фиктивных активностей или мероприятий для искусственного накопления баллов;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Любые формы мошенничества, включая взлом или несанкционированное вмешательство в работу платформы учёта енотов;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Намеренные действия, дискредитирующие программу, её организаторов или других участников.</w:t>
      </w:r>
    </w:p>
    <w:p w:rsidR="00DB22F9" w:rsidRPr="00B424A0" w:rsidRDefault="00DB22F9" w:rsidP="00DB22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9.3. Решение о полном аннулировании достижений принимается Оргкомитетом на основании всесторонней проверки и является окончательным. Участник уведомляется о принятом решении в электронной форме.</w:t>
      </w:r>
    </w:p>
    <w:p w:rsidR="00DB22F9" w:rsidRPr="00B424A0" w:rsidRDefault="00DB22F9" w:rsidP="00DB22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22F9" w:rsidRPr="00734A59" w:rsidRDefault="00DB22F9" w:rsidP="00DB22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4A59">
        <w:rPr>
          <w:rFonts w:ascii="Times New Roman" w:hAnsi="Times New Roman" w:cs="Times New Roman"/>
        </w:rPr>
        <w:t>9.4 Порядок оспаривания решений Оргкомитета</w:t>
      </w:r>
    </w:p>
    <w:p w:rsidR="00DB22F9" w:rsidRPr="00B424A0" w:rsidRDefault="00DB22F9" w:rsidP="00DB22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9.4.1. Участник Программы вправе подать апелляцию (обращение о пересмотре решения) в случае несогласия с решением Оргкомитета по следующим вопросам: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отказ в начислении енотов за участие в активности;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размер начисленных енотов;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решение об аннулировании накопленных енотов.</w:t>
      </w:r>
    </w:p>
    <w:p w:rsidR="00DB22F9" w:rsidRPr="00B424A0" w:rsidRDefault="00DB22F9" w:rsidP="00DB22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9.4.2. Апелляция подается в письменной форме на имя Проректора по молодежной политике и воспитательной работе (или иного уполномоченного лица, определяемого приказом ректора) через Оргкомитет в течение </w:t>
      </w:r>
      <w:r w:rsidRPr="00B424A0">
        <w:rPr>
          <w:rFonts w:ascii="Times New Roman" w:hAnsi="Times New Roman" w:cs="Times New Roman"/>
          <w:b/>
          <w:bCs/>
        </w:rPr>
        <w:t>10 (десяти) рабочих дней</w:t>
      </w:r>
      <w:r w:rsidRPr="00B424A0">
        <w:rPr>
          <w:rFonts w:ascii="Times New Roman" w:hAnsi="Times New Roman" w:cs="Times New Roman"/>
        </w:rPr>
        <w:t> с момента ознакомления с оспариваемым решением.</w:t>
      </w:r>
    </w:p>
    <w:p w:rsidR="00DB22F9" w:rsidRPr="00B424A0" w:rsidRDefault="00DB22F9" w:rsidP="00DB22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9.4.3. Апелляция должна содержать: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ФИО, институт и группу участника;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суть оспариваемого решения;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обоснование причины несогласия;</w:t>
      </w:r>
    </w:p>
    <w:p w:rsidR="00DB22F9" w:rsidRPr="00B424A0" w:rsidRDefault="00DB22F9" w:rsidP="00DB22F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прилагаемые доказательства (при их наличии).</w:t>
      </w:r>
    </w:p>
    <w:p w:rsidR="00DB22F9" w:rsidRPr="00B424A0" w:rsidRDefault="00DB22F9" w:rsidP="00DB22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9.4.4. Рассмотрение апелляции осуществляется в течение </w:t>
      </w:r>
      <w:r w:rsidRPr="00B424A0">
        <w:rPr>
          <w:rFonts w:ascii="Times New Roman" w:hAnsi="Times New Roman" w:cs="Times New Roman"/>
          <w:b/>
          <w:bCs/>
        </w:rPr>
        <w:t>15 (пятнадцати) рабочих дней</w:t>
      </w:r>
      <w:r w:rsidRPr="00B424A0">
        <w:rPr>
          <w:rFonts w:ascii="Times New Roman" w:hAnsi="Times New Roman" w:cs="Times New Roman"/>
        </w:rPr>
        <w:t xml:space="preserve"> с даты её регистрации. Решение, принятое по результатам рассмотрения апелляции, является окончательным </w:t>
      </w:r>
      <w:r w:rsidRPr="00B424A0">
        <w:rPr>
          <w:rFonts w:ascii="Times New Roman" w:hAnsi="Times New Roman" w:cs="Times New Roman"/>
        </w:rPr>
        <w:lastRenderedPageBreak/>
        <w:t>и пересмотру не подлежит. Участник уведомляется о результате рассмотрения в письменной или электронной форме.</w:t>
      </w:r>
    </w:p>
    <w:p w:rsidR="00DB22F9" w:rsidRPr="00B424A0" w:rsidRDefault="00DB22F9" w:rsidP="00DB22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DB22F9" w:rsidRPr="00B424A0" w:rsidRDefault="00DB22F9" w:rsidP="00DB22F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  <w:b/>
          <w:bCs/>
        </w:rPr>
        <w:t>10. Заключительные положения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10.1. Настоящее Положение вступает в силу с 1 сентября 2025 года и действует до 31 августа 2026 года.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10.2. Все изменения и дополнения к настоящему Положению утверждаются приказом ректора Университета. С этими изменениями должны быть ознакомлены все участники программы через официальные ресурсы университета до их вступления в силу.</w:t>
      </w:r>
    </w:p>
    <w:p w:rsidR="00DB22F9" w:rsidRPr="00B424A0" w:rsidRDefault="00DB22F9" w:rsidP="00DB22F9">
      <w:pPr>
        <w:jc w:val="both"/>
        <w:rPr>
          <w:rFonts w:ascii="Times New Roman" w:hAnsi="Times New Roman" w:cs="Times New Roman"/>
        </w:rPr>
      </w:pPr>
      <w:r w:rsidRPr="00B424A0">
        <w:rPr>
          <w:rFonts w:ascii="Times New Roman" w:hAnsi="Times New Roman" w:cs="Times New Roman"/>
        </w:rPr>
        <w:t>10.3. Накопленные участником программы еноты действуют в течение одного учебного года (с 1 сентября по 31 августа) и подлежат обнулению после подведения итогов и награждения победителей.</w:t>
      </w:r>
    </w:p>
    <w:p w:rsidR="00DB22F9" w:rsidRPr="00B424A0" w:rsidRDefault="00DB22F9" w:rsidP="00DB22F9">
      <w:pPr>
        <w:spacing w:after="0"/>
        <w:ind w:left="-284" w:right="-1759" w:firstLine="5813"/>
        <w:jc w:val="both"/>
        <w:rPr>
          <w:rFonts w:ascii="Times New Roman" w:hAnsi="Times New Roman" w:cs="Times New Roman"/>
          <w:sz w:val="24"/>
          <w:szCs w:val="24"/>
        </w:rPr>
      </w:pPr>
    </w:p>
    <w:p w:rsidR="0062304F" w:rsidRDefault="00E93D7B"/>
    <w:sectPr w:rsidR="0062304F" w:rsidSect="006B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D7B" w:rsidRDefault="00E93D7B">
      <w:pPr>
        <w:spacing w:after="0" w:line="240" w:lineRule="auto"/>
      </w:pPr>
      <w:r>
        <w:separator/>
      </w:r>
    </w:p>
  </w:endnote>
  <w:endnote w:type="continuationSeparator" w:id="0">
    <w:p w:rsidR="00E93D7B" w:rsidRDefault="00E9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D7B" w:rsidRDefault="00E93D7B">
      <w:pPr>
        <w:spacing w:after="0" w:line="240" w:lineRule="auto"/>
      </w:pPr>
      <w:r>
        <w:separator/>
      </w:r>
    </w:p>
  </w:footnote>
  <w:footnote w:type="continuationSeparator" w:id="0">
    <w:p w:rsidR="00E93D7B" w:rsidRDefault="00E93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7348277"/>
      <w:docPartObj>
        <w:docPartGallery w:val="Page Numbers (Top of Page)"/>
        <w:docPartUnique/>
      </w:docPartObj>
    </w:sdtPr>
    <w:sdtEndPr/>
    <w:sdtContent>
      <w:p w:rsidR="006B1F74" w:rsidRDefault="00DB22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272D2" w:rsidRDefault="00E93D7B" w:rsidP="002272D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020"/>
    <w:multiLevelType w:val="multilevel"/>
    <w:tmpl w:val="62BC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1A95"/>
    <w:multiLevelType w:val="multilevel"/>
    <w:tmpl w:val="D526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070D4"/>
    <w:multiLevelType w:val="multilevel"/>
    <w:tmpl w:val="8DFA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0667F"/>
    <w:multiLevelType w:val="multilevel"/>
    <w:tmpl w:val="A9BA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93949"/>
    <w:multiLevelType w:val="multilevel"/>
    <w:tmpl w:val="C7D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50413"/>
    <w:multiLevelType w:val="multilevel"/>
    <w:tmpl w:val="0482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F9"/>
    <w:rsid w:val="006C7A7A"/>
    <w:rsid w:val="00CB777F"/>
    <w:rsid w:val="00DB22F9"/>
    <w:rsid w:val="00E53AA6"/>
    <w:rsid w:val="00E9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44569-77C4-44EB-845D-50C2D9B8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2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22F9"/>
    <w:rPr>
      <w:rFonts w:eastAsiaTheme="minorEastAsia"/>
      <w:lang w:eastAsia="ru-RU"/>
    </w:rPr>
  </w:style>
  <w:style w:type="paragraph" w:customStyle="1" w:styleId="ds-markdown-paragraph">
    <w:name w:val="ds-markdown-paragraph"/>
    <w:basedOn w:val="a"/>
    <w:rsid w:val="00DB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table" w:styleId="a5">
    <w:name w:val="Grid Table Light"/>
    <w:basedOn w:val="a1"/>
    <w:uiPriority w:val="40"/>
    <w:rsid w:val="00DB22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Теряева Наталья Сергеевна</dc:creator>
  <cp:keywords/>
  <dc:description/>
  <cp:lastModifiedBy>Бойкова Елена Владимировна</cp:lastModifiedBy>
  <cp:revision>2</cp:revision>
  <dcterms:created xsi:type="dcterms:W3CDTF">2025-09-19T11:29:00Z</dcterms:created>
  <dcterms:modified xsi:type="dcterms:W3CDTF">2025-09-19T11:29:00Z</dcterms:modified>
</cp:coreProperties>
</file>